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C5540" w14:textId="5CB56403" w:rsidR="002C148B" w:rsidRPr="005A2F36" w:rsidRDefault="000B2ADB" w:rsidP="002C148B">
      <w:pPr>
        <w:ind w:left="709" w:right="657"/>
        <w:jc w:val="center"/>
        <w:rPr>
          <w:rFonts w:ascii="Arial" w:hAnsi="Arial" w:cs="Arial"/>
          <w:b/>
          <w:sz w:val="28"/>
          <w:szCs w:val="28"/>
          <w:lang w:val="en-US"/>
        </w:rPr>
      </w:pPr>
      <w:r>
        <w:rPr>
          <w:rFonts w:ascii="Arial" w:hAnsi="Arial" w:cs="Arial"/>
          <w:b/>
          <w:sz w:val="28"/>
          <w:szCs w:val="28"/>
          <w:lang w:val="en-US"/>
        </w:rPr>
        <w:t xml:space="preserve">Commentary </w:t>
      </w:r>
      <w:r w:rsidR="00393F20">
        <w:rPr>
          <w:rFonts w:ascii="Arial" w:hAnsi="Arial" w:cs="Arial"/>
          <w:b/>
          <w:sz w:val="28"/>
          <w:szCs w:val="28"/>
          <w:lang w:val="en-US"/>
        </w:rPr>
        <w:t>on Market development 2025</w:t>
      </w:r>
    </w:p>
    <w:p w14:paraId="730F44D3" w14:textId="77777777" w:rsidR="002C148B" w:rsidRPr="005A2F36" w:rsidRDefault="002C148B" w:rsidP="002C148B">
      <w:pPr>
        <w:ind w:left="709" w:right="657"/>
        <w:rPr>
          <w:rFonts w:ascii="Arial" w:hAnsi="Arial" w:cs="Arial"/>
          <w:sz w:val="22"/>
          <w:szCs w:val="22"/>
          <w:lang w:val="en-US"/>
        </w:rPr>
      </w:pPr>
    </w:p>
    <w:p w14:paraId="27D26008" w14:textId="62996FDB" w:rsidR="00085339" w:rsidRPr="005A2F36" w:rsidRDefault="001B519B" w:rsidP="00085339">
      <w:pPr>
        <w:ind w:left="709" w:right="657"/>
        <w:rPr>
          <w:rFonts w:ascii="Arial" w:hAnsi="Arial" w:cs="Arial"/>
          <w:b/>
          <w:bCs/>
          <w:sz w:val="22"/>
          <w:szCs w:val="22"/>
          <w:lang w:val="en-US"/>
        </w:rPr>
      </w:pPr>
      <w:r w:rsidRPr="005A2F36">
        <w:rPr>
          <w:rFonts w:ascii="Arial" w:hAnsi="Arial" w:cs="Arial"/>
          <w:b/>
          <w:bCs/>
          <w:sz w:val="22"/>
          <w:szCs w:val="22"/>
          <w:lang w:val="en-US"/>
        </w:rPr>
        <w:t>Declining tube production in</w:t>
      </w:r>
      <w:r w:rsidR="005A2F36" w:rsidRPr="005A2F36">
        <w:rPr>
          <w:rFonts w:ascii="Arial" w:hAnsi="Arial" w:cs="Arial"/>
          <w:b/>
          <w:bCs/>
          <w:sz w:val="22"/>
          <w:szCs w:val="22"/>
          <w:lang w:val="en-US"/>
        </w:rPr>
        <w:t xml:space="preserve"> Europe</w:t>
      </w:r>
      <w:r w:rsidRPr="005A2F36">
        <w:rPr>
          <w:rFonts w:ascii="Arial" w:hAnsi="Arial" w:cs="Arial"/>
          <w:b/>
          <w:bCs/>
          <w:sz w:val="22"/>
          <w:szCs w:val="22"/>
          <w:lang w:val="en-US"/>
        </w:rPr>
        <w:t xml:space="preserve"> in </w:t>
      </w:r>
      <w:r w:rsidR="00085339" w:rsidRPr="005A2F36">
        <w:rPr>
          <w:rFonts w:ascii="Arial" w:hAnsi="Arial" w:cs="Arial"/>
          <w:b/>
          <w:bCs/>
          <w:sz w:val="22"/>
          <w:szCs w:val="22"/>
          <w:lang w:val="en-US"/>
        </w:rPr>
        <w:t xml:space="preserve">2025 </w:t>
      </w:r>
    </w:p>
    <w:p w14:paraId="4CBAD5D2" w14:textId="77777777" w:rsidR="00085339" w:rsidRPr="005A2F36" w:rsidRDefault="00085339" w:rsidP="00085339">
      <w:pPr>
        <w:ind w:left="709" w:right="657"/>
        <w:rPr>
          <w:rFonts w:ascii="Arial" w:hAnsi="Arial" w:cs="Arial"/>
          <w:sz w:val="22"/>
          <w:szCs w:val="22"/>
          <w:lang w:val="en-US"/>
        </w:rPr>
      </w:pPr>
      <w:r w:rsidRPr="005A2F36">
        <w:rPr>
          <w:rFonts w:ascii="Arial" w:hAnsi="Arial" w:cs="Arial"/>
          <w:sz w:val="22"/>
          <w:szCs w:val="22"/>
          <w:lang w:val="en-US"/>
        </w:rPr>
        <w:t>European tube market remains resilient despite headwinds</w:t>
      </w:r>
    </w:p>
    <w:p w14:paraId="36A9ABA3" w14:textId="77777777" w:rsidR="00085339" w:rsidRPr="005A2F36" w:rsidRDefault="00085339" w:rsidP="00085339">
      <w:pPr>
        <w:ind w:left="709" w:right="657"/>
        <w:rPr>
          <w:rFonts w:ascii="Arial" w:hAnsi="Arial" w:cs="Arial"/>
          <w:sz w:val="22"/>
          <w:szCs w:val="22"/>
          <w:lang w:val="en-US"/>
        </w:rPr>
      </w:pPr>
    </w:p>
    <w:p w14:paraId="262A5798" w14:textId="38DDA22D" w:rsidR="00085339" w:rsidRPr="005A2F36" w:rsidRDefault="00085339" w:rsidP="00085339">
      <w:pPr>
        <w:ind w:left="709" w:right="657"/>
        <w:rPr>
          <w:rFonts w:ascii="Arial" w:hAnsi="Arial" w:cs="Arial"/>
          <w:sz w:val="22"/>
          <w:szCs w:val="22"/>
          <w:lang w:val="en-US"/>
        </w:rPr>
      </w:pPr>
      <w:r w:rsidRPr="005A2F36">
        <w:rPr>
          <w:rFonts w:ascii="Arial" w:hAnsi="Arial" w:cs="Arial"/>
          <w:sz w:val="22"/>
          <w:szCs w:val="22"/>
          <w:lang w:val="en-US"/>
        </w:rPr>
        <w:t xml:space="preserve">Deliveries by tube manufacturers </w:t>
      </w:r>
      <w:proofErr w:type="spellStart"/>
      <w:r w:rsidRPr="005A2F36">
        <w:rPr>
          <w:rFonts w:ascii="Arial" w:hAnsi="Arial" w:cs="Arial"/>
          <w:sz w:val="22"/>
          <w:szCs w:val="22"/>
          <w:lang w:val="en-US"/>
        </w:rPr>
        <w:t>organised</w:t>
      </w:r>
      <w:proofErr w:type="spellEnd"/>
      <w:r w:rsidRPr="005A2F36">
        <w:rPr>
          <w:rFonts w:ascii="Arial" w:hAnsi="Arial" w:cs="Arial"/>
          <w:sz w:val="22"/>
          <w:szCs w:val="22"/>
          <w:lang w:val="en-US"/>
        </w:rPr>
        <w:t xml:space="preserve"> in the European Tube Manufacturers Association (etma) decreased by 3.6 per cent to a total volume of around 11.1 billion units in 2025 compared to the previous year.</w:t>
      </w:r>
    </w:p>
    <w:p w14:paraId="416F31B8" w14:textId="77777777" w:rsidR="00085339" w:rsidRPr="005A2F36" w:rsidRDefault="00085339" w:rsidP="00085339">
      <w:pPr>
        <w:ind w:left="709" w:right="657"/>
        <w:rPr>
          <w:rFonts w:ascii="Arial" w:hAnsi="Arial" w:cs="Arial"/>
          <w:sz w:val="22"/>
          <w:szCs w:val="22"/>
          <w:lang w:val="en-US"/>
        </w:rPr>
      </w:pPr>
    </w:p>
    <w:p w14:paraId="61D32EF7" w14:textId="0D0A35D8" w:rsidR="00085339" w:rsidRPr="005A2F36" w:rsidRDefault="00085339" w:rsidP="00085339">
      <w:pPr>
        <w:ind w:left="709" w:right="657"/>
        <w:rPr>
          <w:rFonts w:ascii="Arial" w:hAnsi="Arial" w:cs="Arial"/>
          <w:sz w:val="22"/>
          <w:szCs w:val="22"/>
          <w:lang w:val="en-US"/>
        </w:rPr>
      </w:pPr>
      <w:r w:rsidRPr="005A2F36">
        <w:rPr>
          <w:rFonts w:ascii="Arial" w:hAnsi="Arial" w:cs="Arial"/>
          <w:sz w:val="22"/>
          <w:szCs w:val="22"/>
          <w:lang w:val="en-US"/>
        </w:rPr>
        <w:t xml:space="preserve">All material segments showed a declining trend, although with varying intensity. Aluminium tubes recorded a total volume of 3.8 billion units, down by 2.5 </w:t>
      </w:r>
      <w:r w:rsidR="00C55616">
        <w:rPr>
          <w:rFonts w:ascii="Arial" w:hAnsi="Arial" w:cs="Arial"/>
          <w:sz w:val="22"/>
          <w:szCs w:val="22"/>
          <w:lang w:val="en-US"/>
        </w:rPr>
        <w:t>%</w:t>
      </w:r>
      <w:r w:rsidRPr="005A2F36">
        <w:rPr>
          <w:rFonts w:ascii="Arial" w:hAnsi="Arial" w:cs="Arial"/>
          <w:sz w:val="22"/>
          <w:szCs w:val="22"/>
          <w:lang w:val="en-US"/>
        </w:rPr>
        <w:t xml:space="preserve"> year-on-year, mainly driven by weaker demand from the pharmaceutical sector, the most important end-use market for this segment. Plastic tubes declined more significantly by 6.7 </w:t>
      </w:r>
      <w:r w:rsidR="00C55616">
        <w:rPr>
          <w:rFonts w:ascii="Arial" w:hAnsi="Arial" w:cs="Arial"/>
          <w:sz w:val="22"/>
          <w:szCs w:val="22"/>
          <w:lang w:val="en-US"/>
        </w:rPr>
        <w:t>%</w:t>
      </w:r>
      <w:r w:rsidRPr="005A2F36">
        <w:rPr>
          <w:rFonts w:ascii="Arial" w:hAnsi="Arial" w:cs="Arial"/>
          <w:sz w:val="22"/>
          <w:szCs w:val="22"/>
          <w:lang w:val="en-US"/>
        </w:rPr>
        <w:t xml:space="preserve"> to 2.87 billion units, reflecting a notable slowdown in demand from the cosmetics sector, particularly in small-diameter formats after a stronger performance in the previous year. Laminate tubes remained comparatively stable with a slight decrease of 1.0</w:t>
      </w:r>
      <w:r w:rsidR="00335FAB">
        <w:rPr>
          <w:rFonts w:ascii="Arial" w:hAnsi="Arial" w:cs="Arial"/>
          <w:sz w:val="22"/>
          <w:szCs w:val="22"/>
          <w:lang w:val="en-US"/>
        </w:rPr>
        <w:t xml:space="preserve"> % </w:t>
      </w:r>
      <w:r w:rsidRPr="005A2F36">
        <w:rPr>
          <w:rFonts w:ascii="Arial" w:hAnsi="Arial" w:cs="Arial"/>
          <w:sz w:val="22"/>
          <w:szCs w:val="22"/>
          <w:lang w:val="en-US"/>
        </w:rPr>
        <w:t>to 4.43 billion units</w:t>
      </w:r>
      <w:r w:rsidR="00335FAB">
        <w:rPr>
          <w:rFonts w:ascii="Arial" w:hAnsi="Arial" w:cs="Arial"/>
          <w:sz w:val="22"/>
          <w:szCs w:val="22"/>
          <w:lang w:val="en-US"/>
        </w:rPr>
        <w:t>.</w:t>
      </w:r>
    </w:p>
    <w:p w14:paraId="7DBDB2BC" w14:textId="77777777" w:rsidR="00085339" w:rsidRPr="005A2F36" w:rsidRDefault="00085339" w:rsidP="00085339">
      <w:pPr>
        <w:ind w:left="709" w:right="657"/>
        <w:rPr>
          <w:rFonts w:ascii="Arial" w:hAnsi="Arial" w:cs="Arial"/>
          <w:sz w:val="22"/>
          <w:szCs w:val="22"/>
          <w:lang w:val="en-US"/>
        </w:rPr>
      </w:pPr>
    </w:p>
    <w:p w14:paraId="717EE3E9" w14:textId="054C8C6D" w:rsidR="00085339" w:rsidRPr="005A2F36" w:rsidRDefault="00085339" w:rsidP="00085339">
      <w:pPr>
        <w:ind w:left="709" w:right="657"/>
        <w:rPr>
          <w:rFonts w:ascii="Arial" w:hAnsi="Arial" w:cs="Arial"/>
          <w:sz w:val="22"/>
          <w:szCs w:val="22"/>
          <w:lang w:val="en-US"/>
        </w:rPr>
      </w:pPr>
      <w:r w:rsidRPr="005A2F36">
        <w:rPr>
          <w:rFonts w:ascii="Arial" w:hAnsi="Arial" w:cs="Arial"/>
          <w:sz w:val="22"/>
          <w:szCs w:val="22"/>
          <w:lang w:val="en-US"/>
        </w:rPr>
        <w:t xml:space="preserve">“In 2025, the European tube market was still operating in a challenging environment shaped by geopolitical uncertainty, cautious consumer sentiment and continued cost pressure across energy, </w:t>
      </w:r>
      <w:proofErr w:type="spellStart"/>
      <w:r w:rsidRPr="005A2F36">
        <w:rPr>
          <w:rFonts w:ascii="Arial" w:hAnsi="Arial" w:cs="Arial"/>
          <w:sz w:val="22"/>
          <w:szCs w:val="22"/>
          <w:lang w:val="en-US"/>
        </w:rPr>
        <w:t>labour</w:t>
      </w:r>
      <w:proofErr w:type="spellEnd"/>
      <w:r w:rsidRPr="005A2F36">
        <w:rPr>
          <w:rFonts w:ascii="Arial" w:hAnsi="Arial" w:cs="Arial"/>
          <w:sz w:val="22"/>
          <w:szCs w:val="22"/>
          <w:lang w:val="en-US"/>
        </w:rPr>
        <w:t xml:space="preserve"> and raw materials,” says etma </w:t>
      </w:r>
      <w:r w:rsidR="00131ACC">
        <w:rPr>
          <w:rFonts w:ascii="Arial" w:hAnsi="Arial" w:cs="Arial"/>
          <w:sz w:val="22"/>
          <w:szCs w:val="22"/>
          <w:lang w:val="en-US"/>
        </w:rPr>
        <w:t>Secretary General Seifeldin Raslan Mohamed</w:t>
      </w:r>
      <w:r w:rsidRPr="005A2F36">
        <w:rPr>
          <w:rFonts w:ascii="Arial" w:hAnsi="Arial" w:cs="Arial"/>
          <w:sz w:val="22"/>
          <w:szCs w:val="22"/>
          <w:lang w:val="en-US"/>
        </w:rPr>
        <w:t>. “While demand remained solid in several core application areas, we clearly saw a correction in segments that had experienced stronger performance in previous years, particularly in cosmetics-related applications.”</w:t>
      </w:r>
    </w:p>
    <w:p w14:paraId="2BFA472D" w14:textId="77777777" w:rsidR="00085339" w:rsidRPr="005A2F36" w:rsidRDefault="00085339" w:rsidP="00085339">
      <w:pPr>
        <w:ind w:left="709" w:right="657"/>
        <w:rPr>
          <w:rFonts w:ascii="Arial" w:hAnsi="Arial" w:cs="Arial"/>
          <w:sz w:val="22"/>
          <w:szCs w:val="22"/>
          <w:lang w:val="en-US"/>
        </w:rPr>
      </w:pPr>
    </w:p>
    <w:p w14:paraId="49D200F7" w14:textId="19CFE023" w:rsidR="006A7873" w:rsidRPr="006A7873" w:rsidRDefault="00186EB1" w:rsidP="006A7873">
      <w:pPr>
        <w:ind w:left="709" w:right="657"/>
        <w:rPr>
          <w:rFonts w:ascii="Arial" w:hAnsi="Arial" w:cs="Arial"/>
          <w:b/>
          <w:bCs/>
          <w:sz w:val="22"/>
          <w:szCs w:val="22"/>
          <w:lang w:val="en-US"/>
        </w:rPr>
      </w:pPr>
      <w:r>
        <w:rPr>
          <w:rFonts w:ascii="Arial" w:hAnsi="Arial" w:cs="Arial"/>
          <w:b/>
          <w:bCs/>
          <w:sz w:val="22"/>
          <w:szCs w:val="22"/>
          <w:lang w:val="en-US"/>
        </w:rPr>
        <w:t>G</w:t>
      </w:r>
      <w:r w:rsidR="006A7873" w:rsidRPr="006A7873">
        <w:rPr>
          <w:rFonts w:ascii="Arial" w:hAnsi="Arial" w:cs="Arial"/>
          <w:b/>
          <w:bCs/>
          <w:sz w:val="22"/>
          <w:szCs w:val="22"/>
          <w:lang w:val="en-US"/>
        </w:rPr>
        <w:t>radual recovery in 2026 overshadowed by renewed supply chain pressure</w:t>
      </w:r>
    </w:p>
    <w:p w14:paraId="79D96AEB" w14:textId="77777777" w:rsidR="00186EB1" w:rsidRDefault="00186EB1" w:rsidP="006A7873">
      <w:pPr>
        <w:ind w:left="709" w:right="657"/>
        <w:rPr>
          <w:rFonts w:ascii="Arial" w:hAnsi="Arial" w:cs="Arial"/>
          <w:sz w:val="22"/>
          <w:szCs w:val="22"/>
          <w:lang w:val="en-US"/>
        </w:rPr>
      </w:pPr>
    </w:p>
    <w:p w14:paraId="187BE25E" w14:textId="75FCCF75" w:rsidR="006A7873" w:rsidRPr="006A7873" w:rsidRDefault="006A7873" w:rsidP="006A7873">
      <w:pPr>
        <w:ind w:left="709" w:right="657"/>
        <w:rPr>
          <w:rFonts w:ascii="Arial" w:hAnsi="Arial" w:cs="Arial"/>
          <w:sz w:val="22"/>
          <w:szCs w:val="22"/>
          <w:lang w:val="en-US"/>
        </w:rPr>
      </w:pPr>
      <w:r w:rsidRPr="006A7873">
        <w:rPr>
          <w:rFonts w:ascii="Arial" w:hAnsi="Arial" w:cs="Arial"/>
          <w:sz w:val="22"/>
          <w:szCs w:val="22"/>
          <w:lang w:val="en-US"/>
        </w:rPr>
        <w:t>While the</w:t>
      </w:r>
      <w:r w:rsidR="00186EB1">
        <w:rPr>
          <w:rFonts w:ascii="Arial" w:hAnsi="Arial" w:cs="Arial"/>
          <w:sz w:val="22"/>
          <w:szCs w:val="22"/>
          <w:lang w:val="en-US"/>
        </w:rPr>
        <w:t xml:space="preserve"> first quarter</w:t>
      </w:r>
      <w:r w:rsidRPr="006A7873">
        <w:rPr>
          <w:rFonts w:ascii="Arial" w:hAnsi="Arial" w:cs="Arial"/>
          <w:sz w:val="22"/>
          <w:szCs w:val="22"/>
          <w:lang w:val="en-US"/>
        </w:rPr>
        <w:t xml:space="preserve"> of 2026 has shown encouraging signs of a gradual recovery across several end-use markets, particularly in pharmaceuticals and selected cosmetic applications, this positive momentum is increasingly being accompanied by renewed external pressure factors affecting the global supply chain environment.</w:t>
      </w:r>
    </w:p>
    <w:p w14:paraId="34FD94E1" w14:textId="77777777" w:rsidR="00186EB1" w:rsidRDefault="00186EB1" w:rsidP="006A7873">
      <w:pPr>
        <w:ind w:left="709" w:right="657"/>
        <w:rPr>
          <w:rFonts w:ascii="Arial" w:hAnsi="Arial" w:cs="Arial"/>
          <w:sz w:val="22"/>
          <w:szCs w:val="22"/>
          <w:lang w:val="en-US"/>
        </w:rPr>
      </w:pPr>
    </w:p>
    <w:p w14:paraId="3D32C782" w14:textId="52ED8175" w:rsidR="006A7873" w:rsidRPr="006A7873" w:rsidRDefault="006A7873" w:rsidP="007C1BE4">
      <w:pPr>
        <w:ind w:left="709" w:right="657"/>
        <w:rPr>
          <w:rFonts w:ascii="Arial" w:hAnsi="Arial" w:cs="Arial"/>
          <w:sz w:val="22"/>
          <w:szCs w:val="22"/>
          <w:lang w:val="en-US"/>
        </w:rPr>
      </w:pPr>
      <w:r w:rsidRPr="006A7873">
        <w:rPr>
          <w:rFonts w:ascii="Arial" w:hAnsi="Arial" w:cs="Arial"/>
          <w:sz w:val="22"/>
          <w:szCs w:val="22"/>
          <w:lang w:val="en-US"/>
        </w:rPr>
        <w:t>In particular, the escalation of the US–Iran war in March 2026 has led to significant disruptions in international logistics routes and has triggered a sharp increase in raw material prices across key input categories relevant for tube manufacturing. At the same time, availability constraints have re-emerged in certain segments of the metal and polymer supply chains, adding further complexity to an already fragile cost environment.</w:t>
      </w:r>
      <w:r w:rsidR="00601BF5">
        <w:rPr>
          <w:rFonts w:ascii="Arial" w:hAnsi="Arial" w:cs="Arial"/>
          <w:sz w:val="22"/>
          <w:szCs w:val="22"/>
          <w:lang w:val="en-US"/>
        </w:rPr>
        <w:t xml:space="preserve"> </w:t>
      </w:r>
      <w:proofErr w:type="gramStart"/>
      <w:r w:rsidR="007C1BE4">
        <w:rPr>
          <w:rFonts w:ascii="Arial" w:hAnsi="Arial" w:cs="Arial"/>
          <w:sz w:val="22"/>
          <w:szCs w:val="22"/>
          <w:lang w:val="en-US"/>
        </w:rPr>
        <w:t>T</w:t>
      </w:r>
      <w:r w:rsidRPr="006A7873">
        <w:rPr>
          <w:rFonts w:ascii="Arial" w:hAnsi="Arial" w:cs="Arial"/>
          <w:sz w:val="22"/>
          <w:szCs w:val="22"/>
          <w:lang w:val="en-US"/>
        </w:rPr>
        <w:t>hese</w:t>
      </w:r>
      <w:proofErr w:type="gramEnd"/>
      <w:r w:rsidRPr="006A7873">
        <w:rPr>
          <w:rFonts w:ascii="Arial" w:hAnsi="Arial" w:cs="Arial"/>
          <w:sz w:val="22"/>
          <w:szCs w:val="22"/>
          <w:lang w:val="en-US"/>
        </w:rPr>
        <w:t xml:space="preserve"> developments are once again reducing planning certainty for manufacturers across the European tube industry. While demand trends are improving compared to the previous year, the volatility on the supply side is creating a more uneven and less predictable operating landscape. This particularly affects energy-intensive production steps and globally traded raw materials, where price fluctuations have become more pronounced in recent months.</w:t>
      </w:r>
    </w:p>
    <w:p w14:paraId="56B5A756" w14:textId="77777777" w:rsidR="007C1BE4" w:rsidRDefault="007C1BE4" w:rsidP="006A7873">
      <w:pPr>
        <w:ind w:left="709" w:right="657"/>
        <w:rPr>
          <w:rFonts w:ascii="Arial" w:hAnsi="Arial" w:cs="Arial"/>
          <w:sz w:val="22"/>
          <w:szCs w:val="22"/>
          <w:lang w:val="en-US"/>
        </w:rPr>
      </w:pPr>
    </w:p>
    <w:p w14:paraId="601CAC6D" w14:textId="42CD3D4E" w:rsidR="006A7873" w:rsidRPr="006A7873" w:rsidRDefault="006A7873" w:rsidP="006A7873">
      <w:pPr>
        <w:ind w:left="709" w:right="657"/>
        <w:rPr>
          <w:rFonts w:ascii="Arial" w:hAnsi="Arial" w:cs="Arial"/>
          <w:sz w:val="22"/>
          <w:szCs w:val="22"/>
          <w:lang w:val="en-US"/>
        </w:rPr>
      </w:pPr>
      <w:r w:rsidRPr="006A7873">
        <w:rPr>
          <w:rFonts w:ascii="Arial" w:hAnsi="Arial" w:cs="Arial"/>
          <w:sz w:val="22"/>
          <w:szCs w:val="22"/>
          <w:lang w:val="en-US"/>
        </w:rPr>
        <w:t>Despite these challenges, the industry remains cautiously optimistic regarding the overall outcome of the first half of 2026. The underlying demand recovery, combined with continued resilience in core application areas such as pharmaceuticals, cosmetics and food packaging, provides a stable foundation for the sector. However, the balance between improving demand and increasing supply-side pressure will remain a key factor shaping short-term performance.</w:t>
      </w:r>
    </w:p>
    <w:p w14:paraId="470FC882" w14:textId="3E7E6976" w:rsidR="006A7873" w:rsidRPr="006A7873" w:rsidRDefault="006A7873" w:rsidP="006A7873">
      <w:pPr>
        <w:ind w:left="709" w:right="657"/>
        <w:rPr>
          <w:rFonts w:ascii="Arial" w:hAnsi="Arial" w:cs="Arial"/>
          <w:sz w:val="22"/>
          <w:szCs w:val="22"/>
          <w:lang w:val="en-US"/>
        </w:rPr>
      </w:pPr>
      <w:r w:rsidRPr="006A7873">
        <w:rPr>
          <w:rFonts w:ascii="Arial" w:hAnsi="Arial" w:cs="Arial"/>
          <w:sz w:val="22"/>
          <w:szCs w:val="22"/>
          <w:lang w:val="en-US"/>
        </w:rPr>
        <w:t xml:space="preserve">etma will publish detailed statistical data for the first half of 2026 in its official press release in September 2026, providing a comprehensive </w:t>
      </w:r>
      <w:r w:rsidR="00601BF5" w:rsidRPr="00186EB1">
        <w:rPr>
          <w:rFonts w:ascii="Arial" w:hAnsi="Arial" w:cs="Arial"/>
          <w:sz w:val="22"/>
          <w:szCs w:val="22"/>
        </w:rPr>
        <w:t>overview</w:t>
      </w:r>
      <w:r w:rsidR="00186EB1" w:rsidRPr="00186EB1">
        <w:rPr>
          <w:rFonts w:ascii="Arial" w:hAnsi="Arial" w:cs="Arial"/>
          <w:sz w:val="22"/>
          <w:szCs w:val="22"/>
        </w:rPr>
        <w:t xml:space="preserve"> of market developments and segment-specific trends.</w:t>
      </w:r>
    </w:p>
    <w:p w14:paraId="1B0F5EB3" w14:textId="35CABE74" w:rsidR="00AF2944" w:rsidRPr="005A2F36" w:rsidRDefault="00AF2944" w:rsidP="00085339">
      <w:pPr>
        <w:ind w:left="709" w:right="657"/>
        <w:rPr>
          <w:rFonts w:ascii="Arial" w:hAnsi="Arial" w:cs="Arial"/>
          <w:sz w:val="22"/>
          <w:szCs w:val="22"/>
          <w:lang w:val="en-US"/>
        </w:rPr>
      </w:pPr>
    </w:p>
    <w:p w14:paraId="014732F1" w14:textId="77777777" w:rsidR="00BB0F48" w:rsidRPr="005A2F36" w:rsidRDefault="00BB0F48" w:rsidP="00AF2944">
      <w:pPr>
        <w:ind w:left="709" w:right="657"/>
        <w:rPr>
          <w:rFonts w:ascii="Arial" w:hAnsi="Arial" w:cs="Arial"/>
          <w:sz w:val="22"/>
          <w:szCs w:val="22"/>
          <w:lang w:val="en-US"/>
        </w:rPr>
      </w:pPr>
    </w:p>
    <w:p w14:paraId="650826E0" w14:textId="77777777" w:rsidR="00AF2944" w:rsidRPr="005A2F36" w:rsidRDefault="00AF2944" w:rsidP="00AF2944">
      <w:pPr>
        <w:ind w:left="709" w:right="657"/>
        <w:rPr>
          <w:rFonts w:ascii="Arial" w:hAnsi="Arial" w:cs="Arial"/>
          <w:sz w:val="22"/>
          <w:szCs w:val="22"/>
          <w:lang w:val="en-US"/>
        </w:rPr>
      </w:pPr>
    </w:p>
    <w:sectPr w:rsidR="00AF2944" w:rsidRPr="005A2F36" w:rsidSect="001916F8">
      <w:headerReference w:type="even" r:id="rId7"/>
      <w:headerReference w:type="default" r:id="rId8"/>
      <w:footerReference w:type="even" r:id="rId9"/>
      <w:footerReference w:type="default" r:id="rId10"/>
      <w:headerReference w:type="first" r:id="rId11"/>
      <w:footerReference w:type="first" r:id="rId12"/>
      <w:pgSz w:w="11907" w:h="16840" w:code="9"/>
      <w:pgMar w:top="2127" w:right="618" w:bottom="709" w:left="709" w:header="0" w:footer="7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E567" w14:textId="77777777" w:rsidR="006A32B1" w:rsidRDefault="006A32B1" w:rsidP="000C2018">
      <w:r>
        <w:separator/>
      </w:r>
    </w:p>
  </w:endnote>
  <w:endnote w:type="continuationSeparator" w:id="0">
    <w:p w14:paraId="0F969AD9" w14:textId="77777777" w:rsidR="006A32B1" w:rsidRDefault="006A32B1"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791FF" w14:textId="77777777" w:rsidR="005735CA" w:rsidRDefault="00573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7DBA"/>
        <w:sz w:val="16"/>
        <w:szCs w:val="16"/>
      </w:rPr>
      <w:id w:val="1363872741"/>
      <w:docPartObj>
        <w:docPartGallery w:val="Page Numbers (Bottom of Page)"/>
        <w:docPartUnique/>
      </w:docPartObj>
    </w:sdtPr>
    <w:sdtEndPr/>
    <w:sdtContent>
      <w:sdt>
        <w:sdtPr>
          <w:rPr>
            <w:rFonts w:ascii="Arial" w:hAnsi="Arial" w:cs="Arial"/>
            <w:color w:val="007DBA"/>
            <w:sz w:val="16"/>
            <w:szCs w:val="16"/>
          </w:rPr>
          <w:id w:val="-1994328871"/>
          <w:docPartObj>
            <w:docPartGallery w:val="Page Numbers (Top of Page)"/>
            <w:docPartUnique/>
          </w:docPartObj>
        </w:sdtPr>
        <w:sdtEnd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p>
        </w:sdtContent>
      </w:sdt>
    </w:sdtContent>
  </w:sdt>
  <w:p w14:paraId="5BDD7510" w14:textId="77777777" w:rsidR="005735CA" w:rsidRDefault="005735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7DBA"/>
        <w:sz w:val="16"/>
        <w:szCs w:val="16"/>
      </w:rPr>
      <w:id w:val="-1702160357"/>
      <w:docPartObj>
        <w:docPartGallery w:val="Page Numbers (Bottom of Page)"/>
        <w:docPartUnique/>
      </w:docPartObj>
    </w:sdtPr>
    <w:sdtEndPr/>
    <w:sdtContent>
      <w:sdt>
        <w:sdtPr>
          <w:rPr>
            <w:rFonts w:ascii="Arial" w:hAnsi="Arial" w:cs="Arial"/>
            <w:color w:val="007DBA"/>
            <w:sz w:val="16"/>
            <w:szCs w:val="16"/>
          </w:rPr>
          <w:id w:val="452603900"/>
          <w:docPartObj>
            <w:docPartGallery w:val="Page Numbers (Top of Page)"/>
            <w:docPartUnique/>
          </w:docPartObj>
        </w:sdtPr>
        <w:sdtEnd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DE"/>
              </w:rPr>
              <mc:AlternateContent>
                <mc:Choice Requires="wps">
                  <w:drawing>
                    <wp:anchor distT="0" distB="0" distL="114300" distR="114300" simplePos="0" relativeHeight="251660288" behindDoc="1" locked="1" layoutInCell="1" allowOverlap="0" wp14:anchorId="664F6C8B" wp14:editId="10040E01">
                      <wp:simplePos x="0" y="0"/>
                      <wp:positionH relativeFrom="page">
                        <wp:posOffset>476250</wp:posOffset>
                      </wp:positionH>
                      <wp:positionV relativeFrom="page">
                        <wp:posOffset>9761855</wp:posOffset>
                      </wp:positionV>
                      <wp:extent cx="6754495" cy="7124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r>
                                  <w:proofErr w:type="spellStart"/>
                                  <w:r w:rsidR="005735CA">
                                    <w:rPr>
                                      <w:rStyle w:val="etmabriefe"/>
                                      <w:sz w:val="17"/>
                                      <w:lang w:val="de-DE"/>
                                    </w:rPr>
                                    <w:t>phone</w:t>
                                  </w:r>
                                  <w:proofErr w:type="spellEnd"/>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r>
                                  <w:proofErr w:type="gramStart"/>
                                  <w:r>
                                    <w:rPr>
                                      <w:rStyle w:val="etmabriefe"/>
                                      <w:sz w:val="17"/>
                                      <w:lang w:val="de-DE"/>
                                    </w:rPr>
                                    <w:t>email</w:t>
                                  </w:r>
                                  <w:proofErr w:type="gramEnd"/>
                                  <w:r w:rsidR="008841BF">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2" w:history="1">
                                    <w:r w:rsidR="005735CA"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6" type="#_x0000_t202" style="position:absolute;left:0;text-align:left;margin-left:37.5pt;margin-top:768.65pt;width:531.85pt;height:5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" o:allowoverlap="f" filled="f" stroked="f">
                      <o:lock v:ext="edit" aspectratio="t"/>
                      <v:textbo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r>
                            <w:proofErr w:type="spellStart"/>
                            <w:r w:rsidR="005735CA">
                              <w:rPr>
                                <w:rStyle w:val="etmabriefe"/>
                                <w:sz w:val="17"/>
                                <w:lang w:val="de-DE"/>
                              </w:rPr>
                              <w:t>phone</w:t>
                            </w:r>
                            <w:proofErr w:type="spellEnd"/>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r>
                            <w:proofErr w:type="gramStart"/>
                            <w:r>
                              <w:rPr>
                                <w:rStyle w:val="etmabriefe"/>
                                <w:sz w:val="17"/>
                                <w:lang w:val="de-DE"/>
                              </w:rPr>
                              <w:t>email</w:t>
                            </w:r>
                            <w:proofErr w:type="gramEnd"/>
                            <w:r w:rsidR="008841BF">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4" w:history="1">
                              <w:r w:rsidR="005735CA"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14</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BB28D" w14:textId="77777777" w:rsidR="006A32B1" w:rsidRDefault="006A32B1" w:rsidP="000C2018">
      <w:r>
        <w:separator/>
      </w:r>
    </w:p>
  </w:footnote>
  <w:footnote w:type="continuationSeparator" w:id="0">
    <w:p w14:paraId="6EF0A71E" w14:textId="77777777" w:rsidR="006A32B1" w:rsidRDefault="006A32B1"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9590" w14:textId="77777777" w:rsidR="005735CA" w:rsidRDefault="00573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FB29" w14:textId="77777777" w:rsidR="005735CA" w:rsidRDefault="005735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5F53" w14:textId="77777777" w:rsidR="005735CA" w:rsidRDefault="005735CA">
    <w:pPr>
      <w:pStyle w:val="Kopfzeile"/>
    </w:pPr>
    <w:r>
      <w:rPr>
        <w:noProof/>
        <w:lang w:val="de-DE"/>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513347244">
    <w:abstractNumId w:val="6"/>
  </w:num>
  <w:num w:numId="2" w16cid:durableId="96796893">
    <w:abstractNumId w:val="1"/>
  </w:num>
  <w:num w:numId="3" w16cid:durableId="1005673926">
    <w:abstractNumId w:val="3"/>
  </w:num>
  <w:num w:numId="4" w16cid:durableId="141777541">
    <w:abstractNumId w:val="4"/>
  </w:num>
  <w:num w:numId="5" w16cid:durableId="2081445673">
    <w:abstractNumId w:val="7"/>
  </w:num>
  <w:num w:numId="6" w16cid:durableId="953026772">
    <w:abstractNumId w:val="2"/>
  </w:num>
  <w:num w:numId="7" w16cid:durableId="1521428097">
    <w:abstractNumId w:val="0"/>
  </w:num>
  <w:num w:numId="8" w16cid:durableId="9069197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11609"/>
    <w:rsid w:val="00020350"/>
    <w:rsid w:val="000514B4"/>
    <w:rsid w:val="0005736F"/>
    <w:rsid w:val="00065E13"/>
    <w:rsid w:val="0007331C"/>
    <w:rsid w:val="00075F9A"/>
    <w:rsid w:val="00085339"/>
    <w:rsid w:val="000B2ADB"/>
    <w:rsid w:val="000C2018"/>
    <w:rsid w:val="000C5B78"/>
    <w:rsid w:val="00131ACC"/>
    <w:rsid w:val="0013475A"/>
    <w:rsid w:val="00160311"/>
    <w:rsid w:val="00176071"/>
    <w:rsid w:val="00177B13"/>
    <w:rsid w:val="00186EB1"/>
    <w:rsid w:val="001916F8"/>
    <w:rsid w:val="001B519B"/>
    <w:rsid w:val="0020295B"/>
    <w:rsid w:val="00283146"/>
    <w:rsid w:val="00284116"/>
    <w:rsid w:val="002A7502"/>
    <w:rsid w:val="002C148B"/>
    <w:rsid w:val="002F0AE9"/>
    <w:rsid w:val="00312937"/>
    <w:rsid w:val="00323405"/>
    <w:rsid w:val="00335FAB"/>
    <w:rsid w:val="00393F20"/>
    <w:rsid w:val="0040241B"/>
    <w:rsid w:val="00410A9D"/>
    <w:rsid w:val="00411F30"/>
    <w:rsid w:val="0041369D"/>
    <w:rsid w:val="00432B1D"/>
    <w:rsid w:val="00457D99"/>
    <w:rsid w:val="004B7729"/>
    <w:rsid w:val="004B7F04"/>
    <w:rsid w:val="004F7A8D"/>
    <w:rsid w:val="00570503"/>
    <w:rsid w:val="005735CA"/>
    <w:rsid w:val="005A2F36"/>
    <w:rsid w:val="005B0C76"/>
    <w:rsid w:val="005E0F9B"/>
    <w:rsid w:val="005F6036"/>
    <w:rsid w:val="00601BF5"/>
    <w:rsid w:val="00617A4F"/>
    <w:rsid w:val="00644BF3"/>
    <w:rsid w:val="00670733"/>
    <w:rsid w:val="006A32B1"/>
    <w:rsid w:val="006A7873"/>
    <w:rsid w:val="006C59E1"/>
    <w:rsid w:val="006D0448"/>
    <w:rsid w:val="00733C79"/>
    <w:rsid w:val="00741B75"/>
    <w:rsid w:val="0074465D"/>
    <w:rsid w:val="00775976"/>
    <w:rsid w:val="0078662F"/>
    <w:rsid w:val="007B0A28"/>
    <w:rsid w:val="007C1BE4"/>
    <w:rsid w:val="007D5FBC"/>
    <w:rsid w:val="00804A03"/>
    <w:rsid w:val="00820DA1"/>
    <w:rsid w:val="008221A2"/>
    <w:rsid w:val="008841BF"/>
    <w:rsid w:val="008B6518"/>
    <w:rsid w:val="008E49B1"/>
    <w:rsid w:val="008E7628"/>
    <w:rsid w:val="009056DF"/>
    <w:rsid w:val="00980A88"/>
    <w:rsid w:val="00A12784"/>
    <w:rsid w:val="00A23DF2"/>
    <w:rsid w:val="00A550C1"/>
    <w:rsid w:val="00A82841"/>
    <w:rsid w:val="00A86140"/>
    <w:rsid w:val="00A92BBC"/>
    <w:rsid w:val="00A94454"/>
    <w:rsid w:val="00AA1B45"/>
    <w:rsid w:val="00AD1106"/>
    <w:rsid w:val="00AE22BC"/>
    <w:rsid w:val="00AE6134"/>
    <w:rsid w:val="00AF2944"/>
    <w:rsid w:val="00AF7331"/>
    <w:rsid w:val="00B04017"/>
    <w:rsid w:val="00B50F1E"/>
    <w:rsid w:val="00B60E80"/>
    <w:rsid w:val="00B672F8"/>
    <w:rsid w:val="00B86871"/>
    <w:rsid w:val="00BA654C"/>
    <w:rsid w:val="00BB0F48"/>
    <w:rsid w:val="00C12C0F"/>
    <w:rsid w:val="00C30DA5"/>
    <w:rsid w:val="00C54C43"/>
    <w:rsid w:val="00C55616"/>
    <w:rsid w:val="00CB5ECE"/>
    <w:rsid w:val="00CB6F3E"/>
    <w:rsid w:val="00CD373A"/>
    <w:rsid w:val="00CD7B11"/>
    <w:rsid w:val="00CE0E79"/>
    <w:rsid w:val="00D00872"/>
    <w:rsid w:val="00D6059F"/>
    <w:rsid w:val="00D618A6"/>
    <w:rsid w:val="00D648CB"/>
    <w:rsid w:val="00D77857"/>
    <w:rsid w:val="00D87DE7"/>
    <w:rsid w:val="00D9304D"/>
    <w:rsid w:val="00DB458C"/>
    <w:rsid w:val="00DC2045"/>
    <w:rsid w:val="00DD5D9B"/>
    <w:rsid w:val="00DD6CC8"/>
    <w:rsid w:val="00DE76BF"/>
    <w:rsid w:val="00DF1796"/>
    <w:rsid w:val="00DF3137"/>
    <w:rsid w:val="00DF45A0"/>
    <w:rsid w:val="00E31664"/>
    <w:rsid w:val="00E92367"/>
    <w:rsid w:val="00EB1513"/>
    <w:rsid w:val="00EB1BFE"/>
    <w:rsid w:val="00EE2E1C"/>
    <w:rsid w:val="00EF3B0A"/>
    <w:rsid w:val="00F0216C"/>
    <w:rsid w:val="00F11787"/>
    <w:rsid w:val="00F423EB"/>
    <w:rsid w:val="00F628AB"/>
    <w:rsid w:val="00F766C7"/>
    <w:rsid w:val="00F93A32"/>
    <w:rsid w:val="00FE0A6C"/>
    <w:rsid w:val="00FE2096"/>
    <w:rsid w:val="00FE5B2C"/>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C3DA9"/>
  <w15:chartTrackingRefBased/>
  <w15:docId w15:val="{3B921DA9-D2CE-4D12-B2B6-AC982FB1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2">
    <w:name w:val="heading 2"/>
    <w:basedOn w:val="Standard"/>
    <w:next w:val="Standard"/>
    <w:link w:val="berschrift2Zchn"/>
    <w:uiPriority w:val="9"/>
    <w:semiHidden/>
    <w:unhideWhenUsed/>
    <w:qFormat/>
    <w:rsid w:val="006A787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 w:type="character" w:customStyle="1" w:styleId="berschrift2Zchn">
    <w:name w:val="Überschrift 2 Zchn"/>
    <w:basedOn w:val="Absatz-Standardschriftart"/>
    <w:link w:val="berschrift2"/>
    <w:uiPriority w:val="9"/>
    <w:semiHidden/>
    <w:rsid w:val="006A7873"/>
    <w:rPr>
      <w:rFonts w:asciiTheme="majorHAnsi" w:eastAsiaTheme="majorEastAsia" w:hAnsiTheme="majorHAnsi" w:cstheme="majorBidi"/>
      <w:color w:val="2E74B5" w:themeColor="accent1" w:themeShade="BF"/>
      <w:sz w:val="26"/>
      <w:szCs w:val="2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508</Words>
  <Characters>2898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Spengler</dc:creator>
  <cp:keywords/>
  <dc:description/>
  <cp:lastModifiedBy>Seifeldin Raslan Mohamed</cp:lastModifiedBy>
  <cp:revision>24</cp:revision>
  <dcterms:created xsi:type="dcterms:W3CDTF">2025-02-20T08:42:00Z</dcterms:created>
  <dcterms:modified xsi:type="dcterms:W3CDTF">2026-06-08T09:40:00Z</dcterms:modified>
</cp:coreProperties>
</file>